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0324" w14:textId="77777777" w:rsidR="00251595" w:rsidRPr="00251595" w:rsidRDefault="00251595" w:rsidP="00251595">
      <w:pPr>
        <w:rPr>
          <w:b/>
          <w:bCs/>
        </w:rPr>
      </w:pPr>
      <w:r w:rsidRPr="00251595">
        <w:rPr>
          <w:b/>
          <w:bCs/>
        </w:rPr>
        <w:t>WRIGHT TOWNSHIP, LUZERNE COUNTY, PENNSYLVANIA</w:t>
      </w:r>
    </w:p>
    <w:p w14:paraId="2A726654" w14:textId="77777777" w:rsidR="00251595" w:rsidRPr="00251595" w:rsidRDefault="00251595" w:rsidP="00251595">
      <w:pPr>
        <w:rPr>
          <w:b/>
          <w:bCs/>
        </w:rPr>
      </w:pPr>
      <w:r w:rsidRPr="00251595">
        <w:rPr>
          <w:b/>
          <w:bCs/>
        </w:rPr>
        <w:t>ORDINANCE NO. ____ OF 2025</w:t>
      </w:r>
    </w:p>
    <w:p w14:paraId="01CC6DBA" w14:textId="77777777" w:rsidR="00251595" w:rsidRPr="00251595" w:rsidRDefault="00000000" w:rsidP="00251595">
      <w:r>
        <w:pict w14:anchorId="007B400A">
          <v:rect id="_x0000_i1025" style="width:0;height:1.5pt" o:hralign="center" o:hrstd="t" o:hr="t" fillcolor="#a0a0a0" stroked="f"/>
        </w:pict>
      </w:r>
    </w:p>
    <w:p w14:paraId="1A9A1772" w14:textId="6F70FA81" w:rsidR="00251595" w:rsidRPr="00251595" w:rsidRDefault="00251595" w:rsidP="00251595">
      <w:pPr>
        <w:rPr>
          <w:b/>
          <w:bCs/>
        </w:rPr>
      </w:pPr>
      <w:r w:rsidRPr="00251595">
        <w:rPr>
          <w:b/>
          <w:bCs/>
        </w:rPr>
        <w:t>AN ORDINANCE OF THE BOARD OF SUPERVISORS OF WRIGHT TOWNSHIP, LUZERNE COUNTY, PENNSYLVANIA, AMENDING THE WRIGHT TOWNSHIP ZONING ORDINANCE TO PERMIT DATA CENTERS AND ASSOCIATED FACILITIES WITHIN THE I-1 GENERAL INDUSTRIAL DISTRICT AND ESTABLISHING SUPPLEMENTAL USE REGULATIONS FOR DATA CENTERS UNDER A NEW SECTION § 145</w:t>
      </w:r>
      <w:r w:rsidRPr="00251595">
        <w:rPr>
          <w:b/>
          <w:bCs/>
        </w:rPr>
        <w:noBreakHyphen/>
      </w:r>
      <w:r w:rsidR="008D2D3D">
        <w:rPr>
          <w:b/>
          <w:bCs/>
        </w:rPr>
        <w:t>XXX</w:t>
      </w:r>
      <w:r w:rsidRPr="00251595">
        <w:rPr>
          <w:b/>
          <w:bCs/>
        </w:rPr>
        <w:t>.</w:t>
      </w:r>
    </w:p>
    <w:p w14:paraId="24821D9A" w14:textId="77777777" w:rsidR="00251595" w:rsidRPr="00251595" w:rsidRDefault="00000000" w:rsidP="00251595">
      <w:r>
        <w:pict w14:anchorId="135480F9">
          <v:rect id="_x0000_i1026" style="width:0;height:1.5pt" o:hralign="center" o:hrstd="t" o:hr="t" fillcolor="#a0a0a0" stroked="f"/>
        </w:pict>
      </w:r>
    </w:p>
    <w:p w14:paraId="2EB6555E" w14:textId="77777777" w:rsidR="00251595" w:rsidRPr="00251595" w:rsidRDefault="00251595" w:rsidP="00251595">
      <w:r w:rsidRPr="00251595">
        <w:rPr>
          <w:b/>
          <w:bCs/>
        </w:rPr>
        <w:t xml:space="preserve">WHEREAS, </w:t>
      </w:r>
      <w:r w:rsidRPr="00251595">
        <w:t>the Board of Supervisors of Wright Township, Luzerne County, Pennsylvania (the "Township") is authorized by the Pennsylvania Municipalities Planning Code to regulate zoning and land development; and</w:t>
      </w:r>
    </w:p>
    <w:p w14:paraId="23F5C85F" w14:textId="77777777" w:rsidR="00251595" w:rsidRPr="00251595" w:rsidRDefault="00251595" w:rsidP="00251595">
      <w:proofErr w:type="gramStart"/>
      <w:r w:rsidRPr="00251595">
        <w:rPr>
          <w:b/>
          <w:bCs/>
        </w:rPr>
        <w:t>WHEREAS,</w:t>
      </w:r>
      <w:proofErr w:type="gramEnd"/>
      <w:r w:rsidRPr="00251595">
        <w:rPr>
          <w:b/>
          <w:bCs/>
        </w:rPr>
        <w:t xml:space="preserve"> </w:t>
      </w:r>
      <w:r w:rsidRPr="00251595">
        <w:t xml:space="preserve">the Board of Supervisors seeks to regulate the development of Data Centers in a manner that supports economic development while preserving the rural character, environmental quality, and public health, safety, and welfare of the </w:t>
      </w:r>
      <w:proofErr w:type="gramStart"/>
      <w:r w:rsidRPr="00251595">
        <w:t>Township;</w:t>
      </w:r>
      <w:proofErr w:type="gramEnd"/>
    </w:p>
    <w:p w14:paraId="2714BA75" w14:textId="77777777" w:rsidR="00251595" w:rsidRPr="00251595" w:rsidRDefault="00000000" w:rsidP="00251595">
      <w:r>
        <w:pict w14:anchorId="2BE492EC">
          <v:rect id="_x0000_i1027" style="width:0;height:1.5pt" o:hralign="center" o:hrstd="t" o:hr="t" fillcolor="#a0a0a0" stroked="f"/>
        </w:pict>
      </w:r>
    </w:p>
    <w:p w14:paraId="6141DB17" w14:textId="77777777" w:rsidR="00251595" w:rsidRPr="00251595" w:rsidRDefault="00251595" w:rsidP="00251595">
      <w:pPr>
        <w:rPr>
          <w:b/>
          <w:bCs/>
        </w:rPr>
      </w:pPr>
      <w:r w:rsidRPr="00251595">
        <w:rPr>
          <w:b/>
          <w:bCs/>
        </w:rPr>
        <w:t xml:space="preserve">NOW, THEREFORE, BE IT ORDAINED AND ENACTED </w:t>
      </w:r>
      <w:r w:rsidRPr="00251595">
        <w:t>by the Board of Supervisors of Wright Township, Luzerne County, Pennsylvania, as follows:</w:t>
      </w:r>
    </w:p>
    <w:p w14:paraId="367EF139" w14:textId="77777777" w:rsidR="00251595" w:rsidRPr="00251595" w:rsidRDefault="00000000" w:rsidP="00251595">
      <w:r>
        <w:pict w14:anchorId="7AE52B21">
          <v:rect id="_x0000_i1028" style="width:0;height:1.5pt" o:hralign="center" o:hrstd="t" o:hr="t" fillcolor="#a0a0a0" stroked="f"/>
        </w:pict>
      </w:r>
    </w:p>
    <w:p w14:paraId="3EF8F8D1" w14:textId="77777777" w:rsidR="00251595" w:rsidRPr="00251595" w:rsidRDefault="00251595" w:rsidP="00251595">
      <w:pPr>
        <w:rPr>
          <w:b/>
          <w:bCs/>
        </w:rPr>
      </w:pPr>
      <w:r w:rsidRPr="00251595">
        <w:rPr>
          <w:b/>
          <w:bCs/>
        </w:rPr>
        <w:t>SECTION 1. AMENDMENT TO DEFINITIONS (§ 145-203)</w:t>
      </w:r>
    </w:p>
    <w:p w14:paraId="706E2CFC" w14:textId="77777777" w:rsidR="00251595" w:rsidRDefault="00251595" w:rsidP="00251595">
      <w:r w:rsidRPr="00251595">
        <w:t>Section § 145-203 is amended to add the following definitions:</w:t>
      </w:r>
    </w:p>
    <w:p w14:paraId="2D1AA452" w14:textId="77777777" w:rsidR="00A53EC9" w:rsidRPr="008739C8" w:rsidRDefault="00A53EC9" w:rsidP="00A53EC9">
      <w:pPr>
        <w:numPr>
          <w:ilvl w:val="0"/>
          <w:numId w:val="10"/>
        </w:numPr>
      </w:pPr>
      <w:r w:rsidRPr="008739C8">
        <w:rPr>
          <w:b/>
          <w:bCs/>
        </w:rPr>
        <w:t>Data Center:</w:t>
      </w:r>
      <w:r w:rsidRPr="008739C8">
        <w:t xml:space="preserve"> Facility housing computer and communications equipment, servers, storage, UPS, and disaster recovery functions on a single tract or unified development.</w:t>
      </w:r>
    </w:p>
    <w:p w14:paraId="721EB959" w14:textId="77777777" w:rsidR="00A53EC9" w:rsidRPr="008739C8" w:rsidRDefault="00A53EC9" w:rsidP="00A53EC9">
      <w:pPr>
        <w:numPr>
          <w:ilvl w:val="0"/>
          <w:numId w:val="10"/>
        </w:numPr>
      </w:pPr>
      <w:r w:rsidRPr="008739C8">
        <w:rPr>
          <w:b/>
          <w:bCs/>
        </w:rPr>
        <w:t>Data Center Accessory Uses:</w:t>
      </w:r>
      <w:r w:rsidRPr="008739C8">
        <w:t xml:space="preserve"> Utilities, substations, water towers, mechanical equipment, environmental controls, redundant power/data connections, and security devices located with a Data Center.</w:t>
      </w:r>
    </w:p>
    <w:p w14:paraId="1FB98A30" w14:textId="77777777" w:rsidR="00A53EC9" w:rsidRPr="008739C8" w:rsidRDefault="00A53EC9" w:rsidP="00A53EC9">
      <w:pPr>
        <w:numPr>
          <w:ilvl w:val="0"/>
          <w:numId w:val="10"/>
        </w:numPr>
      </w:pPr>
      <w:r w:rsidRPr="008739C8">
        <w:rPr>
          <w:b/>
          <w:bCs/>
        </w:rPr>
        <w:t>Disaster Recovery Facility:</w:t>
      </w:r>
      <w:r w:rsidRPr="008739C8">
        <w:t xml:space="preserve"> Building used to continue business operations during disasters, including digital storage of records.</w:t>
      </w:r>
    </w:p>
    <w:p w14:paraId="2BF71AD9" w14:textId="77777777" w:rsidR="00A53EC9" w:rsidRPr="008739C8" w:rsidRDefault="00A53EC9" w:rsidP="00A53EC9">
      <w:pPr>
        <w:numPr>
          <w:ilvl w:val="0"/>
          <w:numId w:val="10"/>
        </w:numPr>
      </w:pPr>
      <w:r w:rsidRPr="008739C8">
        <w:rPr>
          <w:b/>
          <w:bCs/>
        </w:rPr>
        <w:t>Portable Generator:</w:t>
      </w:r>
      <w:r w:rsidRPr="008739C8">
        <w:t xml:space="preserve"> Engine-driven device for temporary electric power, not permanently installed. Must meet Tier IV diesel standards and noise limits.</w:t>
      </w:r>
    </w:p>
    <w:p w14:paraId="41CDAE47" w14:textId="77777777" w:rsidR="00A53EC9" w:rsidRPr="008739C8" w:rsidRDefault="00A53EC9" w:rsidP="00A53EC9">
      <w:pPr>
        <w:numPr>
          <w:ilvl w:val="0"/>
          <w:numId w:val="10"/>
        </w:numPr>
      </w:pPr>
      <w:r w:rsidRPr="008739C8">
        <w:rPr>
          <w:b/>
          <w:bCs/>
        </w:rPr>
        <w:lastRenderedPageBreak/>
        <w:t>Portable Turbine:</w:t>
      </w:r>
      <w:r w:rsidRPr="008739C8">
        <w:t xml:space="preserve"> Mobile wind-powered device capable of generating electricity, not permanently installed.</w:t>
      </w:r>
    </w:p>
    <w:p w14:paraId="6D98A158" w14:textId="77777777" w:rsidR="00A53EC9" w:rsidRDefault="00A53EC9" w:rsidP="00A53EC9">
      <w:pPr>
        <w:numPr>
          <w:ilvl w:val="0"/>
          <w:numId w:val="10"/>
        </w:numPr>
      </w:pPr>
      <w:r w:rsidRPr="008739C8">
        <w:rPr>
          <w:b/>
          <w:bCs/>
        </w:rPr>
        <w:t>Substation:</w:t>
      </w:r>
      <w:r w:rsidRPr="008739C8">
        <w:t xml:space="preserve"> Infrastructure converting and distributing electricity to Data Center facilities.</w:t>
      </w:r>
    </w:p>
    <w:p w14:paraId="084EA389" w14:textId="1372A6E1" w:rsidR="00A53EC9" w:rsidRPr="00251595" w:rsidRDefault="00A53EC9" w:rsidP="00A53EC9">
      <w:pPr>
        <w:numPr>
          <w:ilvl w:val="0"/>
          <w:numId w:val="10"/>
        </w:numPr>
      </w:pPr>
      <w:r w:rsidRPr="00A53EC9">
        <w:rPr>
          <w:b/>
          <w:bCs/>
        </w:rPr>
        <w:t>Community Incentive Package:</w:t>
      </w:r>
      <w:r w:rsidRPr="008739C8">
        <w:t xml:space="preserve"> Programs or contributions to public safety, health, education, community amenities, or infrastructure enhancements designed to offset project impacts and promote Township welfare. Must be proportional to project impact and </w:t>
      </w:r>
      <w:proofErr w:type="gramStart"/>
      <w:r w:rsidRPr="008739C8">
        <w:t>enforceable</w:t>
      </w:r>
      <w:proofErr w:type="gramEnd"/>
      <w:r w:rsidRPr="008739C8">
        <w:t xml:space="preserve"> via Developer’s Agreement</w:t>
      </w:r>
      <w:r>
        <w:t>.</w:t>
      </w:r>
    </w:p>
    <w:p w14:paraId="740DB726" w14:textId="77777777" w:rsidR="00251595" w:rsidRPr="00251595" w:rsidRDefault="00000000" w:rsidP="00251595">
      <w:r>
        <w:pict w14:anchorId="44B48CCF">
          <v:rect id="_x0000_i1029" style="width:0;height:1.5pt" o:hralign="center" o:hrstd="t" o:hr="t" fillcolor="#a0a0a0" stroked="f"/>
        </w:pict>
      </w:r>
    </w:p>
    <w:p w14:paraId="4D383087" w14:textId="77777777" w:rsidR="00251595" w:rsidRPr="00251595" w:rsidRDefault="00251595" w:rsidP="00251595">
      <w:pPr>
        <w:rPr>
          <w:b/>
          <w:bCs/>
        </w:rPr>
      </w:pPr>
      <w:r w:rsidRPr="00251595">
        <w:rPr>
          <w:b/>
          <w:bCs/>
        </w:rPr>
        <w:t>SECTION 2. AMENDMENT TO § 145-508 – I-1 INDUSTRIAL DISTRICT</w:t>
      </w:r>
    </w:p>
    <w:p w14:paraId="7FAA9177" w14:textId="77777777" w:rsidR="00251595" w:rsidRPr="00251595" w:rsidRDefault="00251595" w:rsidP="00251595">
      <w:pPr>
        <w:rPr>
          <w:b/>
          <w:bCs/>
        </w:rPr>
      </w:pPr>
      <w:r w:rsidRPr="00251595">
        <w:rPr>
          <w:b/>
          <w:bCs/>
        </w:rPr>
        <w:t>A. Permitted Conditional Uses</w:t>
      </w:r>
    </w:p>
    <w:p w14:paraId="4D9B8E0C" w14:textId="77777777" w:rsidR="00251595" w:rsidRPr="00251595" w:rsidRDefault="00251595" w:rsidP="00251595">
      <w:r w:rsidRPr="00251595">
        <w:t>The following uses are hereby added to the list of Conditional Uses in the I-1 Industrial District:</w:t>
      </w:r>
    </w:p>
    <w:p w14:paraId="63A53A19" w14:textId="77777777" w:rsidR="00251595" w:rsidRPr="00251595" w:rsidRDefault="00251595" w:rsidP="00251595">
      <w:pPr>
        <w:numPr>
          <w:ilvl w:val="0"/>
          <w:numId w:val="1"/>
        </w:numPr>
      </w:pPr>
      <w:r w:rsidRPr="00251595">
        <w:t>Data Centers</w:t>
      </w:r>
    </w:p>
    <w:p w14:paraId="54B2C5D2" w14:textId="77777777" w:rsidR="00251595" w:rsidRPr="00251595" w:rsidRDefault="00251595" w:rsidP="00251595">
      <w:pPr>
        <w:numPr>
          <w:ilvl w:val="0"/>
          <w:numId w:val="1"/>
        </w:numPr>
      </w:pPr>
      <w:r w:rsidRPr="00251595">
        <w:t>Data Center Accessory Uses</w:t>
      </w:r>
    </w:p>
    <w:p w14:paraId="695BE2FA" w14:textId="77777777" w:rsidR="00251595" w:rsidRPr="00251595" w:rsidRDefault="00251595" w:rsidP="00251595">
      <w:pPr>
        <w:numPr>
          <w:ilvl w:val="0"/>
          <w:numId w:val="1"/>
        </w:numPr>
      </w:pPr>
      <w:r w:rsidRPr="00251595">
        <w:t>Disaster Recovery Facilities</w:t>
      </w:r>
    </w:p>
    <w:p w14:paraId="051F7AEC" w14:textId="77777777" w:rsidR="00251595" w:rsidRPr="00251595" w:rsidRDefault="00251595" w:rsidP="00251595">
      <w:r w:rsidRPr="00251595">
        <w:t>These uses are permitted only by Conditional Use approval in accordance with § 145-816.</w:t>
      </w:r>
    </w:p>
    <w:p w14:paraId="23BB6B01" w14:textId="77777777" w:rsidR="00251595" w:rsidRPr="00251595" w:rsidRDefault="00251595" w:rsidP="00251595">
      <w:pPr>
        <w:rPr>
          <w:b/>
          <w:bCs/>
        </w:rPr>
      </w:pPr>
      <w:r w:rsidRPr="00251595">
        <w:rPr>
          <w:b/>
          <w:bCs/>
        </w:rPr>
        <w:t>B. Dimensional Requirement Exceptions</w:t>
      </w:r>
    </w:p>
    <w:p w14:paraId="6804D2D6" w14:textId="77777777" w:rsidR="00251595" w:rsidRPr="00251595" w:rsidRDefault="00251595" w:rsidP="00251595">
      <w:r w:rsidRPr="00251595">
        <w:t>Minimum lot size and maximum building height for these uses shall be governed by § 145-816 rather than general I-1 zoning standards.</w:t>
      </w:r>
    </w:p>
    <w:p w14:paraId="1C1954E7" w14:textId="77777777" w:rsidR="00251595" w:rsidRPr="00251595" w:rsidRDefault="00000000" w:rsidP="00251595">
      <w:r>
        <w:pict w14:anchorId="5D8AAE26">
          <v:rect id="_x0000_i1030" style="width:0;height:1.5pt" o:hralign="center" o:hrstd="t" o:hr="t" fillcolor="#a0a0a0" stroked="f"/>
        </w:pict>
      </w:r>
    </w:p>
    <w:p w14:paraId="12DAF0BF" w14:textId="77777777" w:rsidR="00251595" w:rsidRPr="00251595" w:rsidRDefault="00251595" w:rsidP="00251595">
      <w:pPr>
        <w:rPr>
          <w:b/>
          <w:bCs/>
        </w:rPr>
      </w:pPr>
      <w:r w:rsidRPr="00251595">
        <w:rPr>
          <w:b/>
          <w:bCs/>
        </w:rPr>
        <w:t>SECTION 3. ADDITION OF §</w:t>
      </w:r>
      <w:r w:rsidRPr="00251595">
        <w:rPr>
          <w:rFonts w:ascii="Arial" w:hAnsi="Arial" w:cs="Arial"/>
          <w:b/>
          <w:bCs/>
        </w:rPr>
        <w:t> </w:t>
      </w:r>
      <w:r w:rsidRPr="00251595">
        <w:rPr>
          <w:b/>
          <w:bCs/>
        </w:rPr>
        <w:t>145</w:t>
      </w:r>
      <w:r w:rsidRPr="00251595">
        <w:rPr>
          <w:b/>
          <w:bCs/>
        </w:rPr>
        <w:noBreakHyphen/>
        <w:t xml:space="preserve">816 </w:t>
      </w:r>
      <w:r w:rsidRPr="00251595">
        <w:rPr>
          <w:rFonts w:ascii="Aptos" w:hAnsi="Aptos" w:cs="Aptos"/>
          <w:b/>
          <w:bCs/>
        </w:rPr>
        <w:t>–</w:t>
      </w:r>
      <w:r w:rsidRPr="00251595">
        <w:rPr>
          <w:b/>
          <w:bCs/>
        </w:rPr>
        <w:t xml:space="preserve"> DATA CENTERS</w:t>
      </w:r>
    </w:p>
    <w:p w14:paraId="74528628" w14:textId="77777777" w:rsidR="00251595" w:rsidRPr="00251595" w:rsidRDefault="00251595" w:rsidP="00251595">
      <w:r w:rsidRPr="00251595">
        <w:t>The following new section is added to the Zoning Ordinance:</w:t>
      </w:r>
    </w:p>
    <w:p w14:paraId="1CF1A445" w14:textId="77777777" w:rsidR="00251595" w:rsidRPr="00251595" w:rsidRDefault="00000000" w:rsidP="00251595">
      <w:r>
        <w:pict w14:anchorId="2C47D68D">
          <v:rect id="_x0000_i1031" style="width:0;height:1.5pt" o:hralign="center" o:hrstd="t" o:hr="t" fillcolor="#a0a0a0" stroked="f"/>
        </w:pict>
      </w:r>
    </w:p>
    <w:p w14:paraId="7D37A8BB" w14:textId="77777777" w:rsidR="00251595" w:rsidRPr="00251595" w:rsidRDefault="00251595" w:rsidP="00251595">
      <w:pPr>
        <w:rPr>
          <w:b/>
          <w:bCs/>
        </w:rPr>
      </w:pPr>
      <w:r w:rsidRPr="00251595">
        <w:rPr>
          <w:b/>
          <w:bCs/>
        </w:rPr>
        <w:t>§</w:t>
      </w:r>
      <w:r w:rsidRPr="00251595">
        <w:rPr>
          <w:rFonts w:ascii="Arial" w:hAnsi="Arial" w:cs="Arial"/>
          <w:b/>
          <w:bCs/>
        </w:rPr>
        <w:t> </w:t>
      </w:r>
      <w:r w:rsidRPr="00251595">
        <w:rPr>
          <w:b/>
          <w:bCs/>
        </w:rPr>
        <w:t>145</w:t>
      </w:r>
      <w:r w:rsidRPr="00251595">
        <w:rPr>
          <w:b/>
          <w:bCs/>
        </w:rPr>
        <w:noBreakHyphen/>
        <w:t>816. Data Centers</w:t>
      </w:r>
    </w:p>
    <w:p w14:paraId="5B50FA94" w14:textId="77777777" w:rsidR="00251595" w:rsidRPr="00251595" w:rsidRDefault="00251595" w:rsidP="00251595">
      <w:pPr>
        <w:rPr>
          <w:b/>
          <w:bCs/>
        </w:rPr>
      </w:pPr>
      <w:r w:rsidRPr="00251595">
        <w:rPr>
          <w:b/>
          <w:bCs/>
        </w:rPr>
        <w:t>A. Applicability</w:t>
      </w:r>
    </w:p>
    <w:p w14:paraId="4CA9E84A" w14:textId="77777777" w:rsidR="00251595" w:rsidRPr="00251595" w:rsidRDefault="00251595" w:rsidP="00251595">
      <w:r w:rsidRPr="00251595">
        <w:t>This section shall apply to all proposed Data Centers, Data Center Accessory Uses, Disaster Recovery Facilities, and Substations proposed in the I-1 District.</w:t>
      </w:r>
    </w:p>
    <w:p w14:paraId="2D4147A2" w14:textId="77777777" w:rsidR="00251595" w:rsidRPr="00251595" w:rsidRDefault="00251595" w:rsidP="00251595">
      <w:pPr>
        <w:rPr>
          <w:b/>
          <w:bCs/>
        </w:rPr>
      </w:pPr>
      <w:r w:rsidRPr="00251595">
        <w:rPr>
          <w:b/>
          <w:bCs/>
        </w:rPr>
        <w:lastRenderedPageBreak/>
        <w:t>B. Building Restrictions</w:t>
      </w:r>
    </w:p>
    <w:p w14:paraId="3C65E925" w14:textId="3881C745" w:rsidR="00251595" w:rsidRPr="00251595" w:rsidRDefault="00251595" w:rsidP="00251595">
      <w:pPr>
        <w:numPr>
          <w:ilvl w:val="0"/>
          <w:numId w:val="2"/>
        </w:numPr>
      </w:pPr>
      <w:r w:rsidRPr="00251595">
        <w:rPr>
          <w:b/>
          <w:bCs/>
        </w:rPr>
        <w:t>Minimum Tract Size</w:t>
      </w:r>
      <w:r w:rsidRPr="00251595">
        <w:t>: 50 contiguous acres.</w:t>
      </w:r>
      <w:r w:rsidR="0052764B">
        <w:t xml:space="preserve"> (adjacent parcels under common ownership may be counted)</w:t>
      </w:r>
    </w:p>
    <w:p w14:paraId="2CADFB5F" w14:textId="3CE1A98C" w:rsidR="00251595" w:rsidRPr="00251595" w:rsidRDefault="00251595" w:rsidP="00251595">
      <w:pPr>
        <w:numPr>
          <w:ilvl w:val="0"/>
          <w:numId w:val="2"/>
        </w:numPr>
      </w:pPr>
      <w:r w:rsidRPr="00251595">
        <w:rPr>
          <w:b/>
          <w:bCs/>
        </w:rPr>
        <w:t>Maximum Floor Area</w:t>
      </w:r>
      <w:r w:rsidRPr="00251595">
        <w:t>: 500,000 square feet.</w:t>
      </w:r>
      <w:r w:rsidR="0052764B">
        <w:t xml:space="preserve"> (multiple buildings may be permitted but each building may not exceed the max. square footage)</w:t>
      </w:r>
    </w:p>
    <w:p w14:paraId="29913791" w14:textId="77777777" w:rsidR="00251595" w:rsidRPr="00251595" w:rsidRDefault="00251595" w:rsidP="00251595">
      <w:pPr>
        <w:numPr>
          <w:ilvl w:val="0"/>
          <w:numId w:val="2"/>
        </w:numPr>
      </w:pPr>
      <w:r w:rsidRPr="00251595">
        <w:rPr>
          <w:b/>
          <w:bCs/>
        </w:rPr>
        <w:t>Maximum Height</w:t>
      </w:r>
      <w:r w:rsidRPr="00251595">
        <w:t>: 45 feet, including rooftop equipment.</w:t>
      </w:r>
    </w:p>
    <w:p w14:paraId="430D772A" w14:textId="77777777" w:rsidR="00251595" w:rsidRPr="00251595" w:rsidRDefault="00251595" w:rsidP="00251595">
      <w:pPr>
        <w:numPr>
          <w:ilvl w:val="0"/>
          <w:numId w:val="2"/>
        </w:numPr>
      </w:pPr>
      <w:r w:rsidRPr="00251595">
        <w:rPr>
          <w:b/>
          <w:bCs/>
        </w:rPr>
        <w:t>Setbacks</w:t>
      </w:r>
      <w:r w:rsidRPr="00251595">
        <w:t>:</w:t>
      </w:r>
    </w:p>
    <w:p w14:paraId="76A156A7" w14:textId="77777777" w:rsidR="00251595" w:rsidRPr="00251595" w:rsidRDefault="00251595" w:rsidP="00251595">
      <w:pPr>
        <w:numPr>
          <w:ilvl w:val="1"/>
          <w:numId w:val="2"/>
        </w:numPr>
      </w:pPr>
      <w:r w:rsidRPr="00251595">
        <w:t>No structure within 300 feet of a residential zoning district or existing occupied residential property.</w:t>
      </w:r>
    </w:p>
    <w:p w14:paraId="2686410D" w14:textId="77777777" w:rsidR="00251595" w:rsidRPr="00251595" w:rsidRDefault="00251595" w:rsidP="00251595">
      <w:pPr>
        <w:numPr>
          <w:ilvl w:val="1"/>
          <w:numId w:val="2"/>
        </w:numPr>
      </w:pPr>
      <w:r w:rsidRPr="00251595">
        <w:t>Loading docks and truck areas must also meet this setback.</w:t>
      </w:r>
    </w:p>
    <w:p w14:paraId="077A5748" w14:textId="77777777" w:rsidR="00251595" w:rsidRPr="00251595" w:rsidRDefault="00251595" w:rsidP="00251595">
      <w:pPr>
        <w:numPr>
          <w:ilvl w:val="0"/>
          <w:numId w:val="2"/>
        </w:numPr>
      </w:pPr>
      <w:r w:rsidRPr="00251595">
        <w:rPr>
          <w:b/>
          <w:bCs/>
        </w:rPr>
        <w:t>Expansion</w:t>
      </w:r>
      <w:r w:rsidRPr="00251595">
        <w:t xml:space="preserve">: Any </w:t>
      </w:r>
      <w:proofErr w:type="gramStart"/>
      <w:r w:rsidRPr="00251595">
        <w:t>expansion</w:t>
      </w:r>
      <w:proofErr w:type="gramEnd"/>
      <w:r w:rsidRPr="00251595">
        <w:t xml:space="preserve"> over 10% of the originally approved footprint or utility load requires amended Conditional Use approval.</w:t>
      </w:r>
    </w:p>
    <w:p w14:paraId="7B732A89" w14:textId="77777777" w:rsidR="00251595" w:rsidRPr="00251595" w:rsidRDefault="00251595" w:rsidP="00251595">
      <w:pPr>
        <w:rPr>
          <w:b/>
          <w:bCs/>
        </w:rPr>
      </w:pPr>
      <w:r w:rsidRPr="00251595">
        <w:rPr>
          <w:b/>
          <w:bCs/>
        </w:rPr>
        <w:t>C. Utility and Infrastructure Requirements</w:t>
      </w:r>
    </w:p>
    <w:p w14:paraId="674F5C3A" w14:textId="77777777" w:rsidR="00A534E3" w:rsidRDefault="00A534E3" w:rsidP="00251595">
      <w:pPr>
        <w:numPr>
          <w:ilvl w:val="0"/>
          <w:numId w:val="3"/>
        </w:numPr>
      </w:pPr>
      <w:r>
        <w:t>General</w:t>
      </w:r>
    </w:p>
    <w:p w14:paraId="0C33D19E" w14:textId="2A06F0C4" w:rsidR="00251595" w:rsidRPr="00251595" w:rsidRDefault="00251595" w:rsidP="00A534E3">
      <w:pPr>
        <w:numPr>
          <w:ilvl w:val="1"/>
          <w:numId w:val="3"/>
        </w:numPr>
      </w:pPr>
      <w:r w:rsidRPr="00251595">
        <w:t>A utility capacity letter is required from each provider.</w:t>
      </w:r>
    </w:p>
    <w:p w14:paraId="3AFD5A03" w14:textId="30C47A48" w:rsidR="00251595" w:rsidRPr="00251595" w:rsidRDefault="00251595" w:rsidP="00A534E3">
      <w:pPr>
        <w:numPr>
          <w:ilvl w:val="1"/>
          <w:numId w:val="3"/>
        </w:numPr>
      </w:pPr>
      <w:r w:rsidRPr="00251595">
        <w:t xml:space="preserve">Approval will not be granted unless infrastructure can accommodate the proposed use without </w:t>
      </w:r>
      <w:r w:rsidR="00A534E3">
        <w:t xml:space="preserve">adverse </w:t>
      </w:r>
      <w:r w:rsidRPr="00251595">
        <w:t xml:space="preserve">impact to </w:t>
      </w:r>
      <w:r w:rsidR="00A534E3">
        <w:t xml:space="preserve">the </w:t>
      </w:r>
      <w:r w:rsidRPr="00251595">
        <w:t>surrounding development.</w:t>
      </w:r>
    </w:p>
    <w:p w14:paraId="24730719" w14:textId="77777777" w:rsidR="00251595" w:rsidRDefault="00251595" w:rsidP="00A534E3">
      <w:pPr>
        <w:numPr>
          <w:ilvl w:val="1"/>
          <w:numId w:val="3"/>
        </w:numPr>
      </w:pPr>
      <w:r w:rsidRPr="00251595">
        <w:t>Cumulative impacts of existing or proposed data center projects shall be considered during approval.</w:t>
      </w:r>
    </w:p>
    <w:p w14:paraId="00E76A36" w14:textId="0F76154A" w:rsidR="00A534E3" w:rsidRDefault="00A534E3" w:rsidP="00A534E3">
      <w:pPr>
        <w:pStyle w:val="ListParagraph"/>
        <w:numPr>
          <w:ilvl w:val="0"/>
          <w:numId w:val="3"/>
        </w:numPr>
      </w:pPr>
      <w:r>
        <w:t xml:space="preserve">Utilities/Power – Feasibility letters from providers; underground lines; document regional impacts. Must demonstrate no adverse impact on local </w:t>
      </w:r>
      <w:proofErr w:type="gramStart"/>
      <w:r>
        <w:t>grid</w:t>
      </w:r>
      <w:proofErr w:type="gramEnd"/>
      <w:r>
        <w:t>.</w:t>
      </w:r>
    </w:p>
    <w:p w14:paraId="7953DEAC" w14:textId="01032977" w:rsidR="00A534E3" w:rsidRDefault="00A534E3" w:rsidP="00A534E3">
      <w:pPr>
        <w:pStyle w:val="ListParagraph"/>
        <w:numPr>
          <w:ilvl w:val="0"/>
          <w:numId w:val="3"/>
        </w:numPr>
      </w:pPr>
      <w:r>
        <w:t>Water Supply – Feasibility study required, Township Engineer and PA DEP approval. Must demonstrate no adverse impact on local water supply/quality.</w:t>
      </w:r>
    </w:p>
    <w:p w14:paraId="3560683B" w14:textId="7BB3EEF7" w:rsidR="00A534E3" w:rsidRDefault="00A534E3" w:rsidP="00A534E3">
      <w:pPr>
        <w:pStyle w:val="ListParagraph"/>
        <w:numPr>
          <w:ilvl w:val="0"/>
          <w:numId w:val="3"/>
        </w:numPr>
      </w:pPr>
      <w:r>
        <w:t>Wastewater – Adequate disposal for domestic and cooling/industrial; approval by SEO/Township Engineer/ PA DEP. Incudes public sewer capacity verification.</w:t>
      </w:r>
    </w:p>
    <w:p w14:paraId="6BE41409" w14:textId="77777777" w:rsidR="00251595" w:rsidRPr="00251595" w:rsidRDefault="00251595" w:rsidP="00251595">
      <w:pPr>
        <w:rPr>
          <w:b/>
          <w:bCs/>
        </w:rPr>
      </w:pPr>
      <w:r w:rsidRPr="00251595">
        <w:rPr>
          <w:b/>
          <w:bCs/>
        </w:rPr>
        <w:t>D. Portable Generators</w:t>
      </w:r>
    </w:p>
    <w:p w14:paraId="27E181D3" w14:textId="7D67CF5F" w:rsidR="00251595" w:rsidRPr="00A534E3" w:rsidRDefault="00251595" w:rsidP="00251595">
      <w:r w:rsidRPr="00A534E3">
        <w:t>Tier IV diese</w:t>
      </w:r>
      <w:r w:rsidR="00A534E3" w:rsidRPr="00A534E3">
        <w:t>l; muffler/</w:t>
      </w:r>
      <w:proofErr w:type="gramStart"/>
      <w:r w:rsidR="00A534E3" w:rsidRPr="00A534E3">
        <w:t>enclosure ;limited</w:t>
      </w:r>
      <w:proofErr w:type="gramEnd"/>
      <w:r w:rsidR="00A534E3" w:rsidRPr="00A534E3">
        <w:t xml:space="preserve"> test</w:t>
      </w:r>
      <w:r w:rsidR="00A534E3">
        <w:t>ing hours; noise &lt;= 67 dBA (day)/</w:t>
      </w:r>
      <w:r w:rsidR="00A534E3" w:rsidRPr="00A534E3">
        <w:t xml:space="preserve"> </w:t>
      </w:r>
      <w:r w:rsidR="00A534E3">
        <w:t>&lt;= 67 (night) measured at property line using ANSI standard meters. Testing to be paid for by owner. Exceptions allowed by EMA approval for emergencies which must be temporary in nature.</w:t>
      </w:r>
    </w:p>
    <w:p w14:paraId="113E4C81" w14:textId="77777777" w:rsidR="00251595" w:rsidRPr="00251595" w:rsidRDefault="00251595" w:rsidP="00251595">
      <w:pPr>
        <w:rPr>
          <w:b/>
          <w:bCs/>
        </w:rPr>
      </w:pPr>
      <w:r w:rsidRPr="00251595">
        <w:rPr>
          <w:b/>
          <w:bCs/>
        </w:rPr>
        <w:t>E. Portable Turbines</w:t>
      </w:r>
    </w:p>
    <w:p w14:paraId="1E09A3F7" w14:textId="72A8CF95" w:rsidR="00251595" w:rsidRPr="00251595" w:rsidRDefault="00A534E3" w:rsidP="00251595">
      <w:r>
        <w:lastRenderedPageBreak/>
        <w:t>Max 2 per parcel; setbacks 75 feet from property line; 10 days/year without Temporary Permit; noise compliant. Must be secured, functional braking.</w:t>
      </w:r>
    </w:p>
    <w:p w14:paraId="72E40FEC" w14:textId="77777777" w:rsidR="00251595" w:rsidRPr="00251595" w:rsidRDefault="00251595" w:rsidP="00251595">
      <w:pPr>
        <w:rPr>
          <w:b/>
          <w:bCs/>
        </w:rPr>
      </w:pPr>
      <w:r w:rsidRPr="00251595">
        <w:rPr>
          <w:b/>
          <w:bCs/>
        </w:rPr>
        <w:t>F. Noise, Sound, and Testing Restrictions</w:t>
      </w:r>
    </w:p>
    <w:p w14:paraId="3243BEBB" w14:textId="77777777" w:rsidR="00251595" w:rsidRPr="00251595" w:rsidRDefault="00251595" w:rsidP="00251595">
      <w:pPr>
        <w:numPr>
          <w:ilvl w:val="0"/>
          <w:numId w:val="4"/>
        </w:numPr>
      </w:pPr>
      <w:r w:rsidRPr="00251595">
        <w:rPr>
          <w:b/>
          <w:bCs/>
        </w:rPr>
        <w:t>Noise Levels</w:t>
      </w:r>
      <w:r w:rsidRPr="00251595">
        <w:t>:</w:t>
      </w:r>
    </w:p>
    <w:p w14:paraId="6BF8D848" w14:textId="77777777" w:rsidR="00251595" w:rsidRPr="00251595" w:rsidRDefault="00251595" w:rsidP="00251595">
      <w:pPr>
        <w:numPr>
          <w:ilvl w:val="1"/>
          <w:numId w:val="4"/>
        </w:numPr>
      </w:pPr>
      <w:r w:rsidRPr="00251595">
        <w:t>Daytime: 67 dBA</w:t>
      </w:r>
    </w:p>
    <w:p w14:paraId="448E45E1" w14:textId="77777777" w:rsidR="00251595" w:rsidRPr="00251595" w:rsidRDefault="00251595" w:rsidP="00251595">
      <w:pPr>
        <w:numPr>
          <w:ilvl w:val="1"/>
          <w:numId w:val="4"/>
        </w:numPr>
      </w:pPr>
      <w:r w:rsidRPr="00251595">
        <w:t>Nighttime: 57 dBA</w:t>
      </w:r>
    </w:p>
    <w:p w14:paraId="211BAF2B" w14:textId="77777777" w:rsidR="00251595" w:rsidRPr="00251595" w:rsidRDefault="00251595" w:rsidP="00251595">
      <w:pPr>
        <w:numPr>
          <w:ilvl w:val="0"/>
          <w:numId w:val="4"/>
        </w:numPr>
      </w:pPr>
      <w:r w:rsidRPr="00251595">
        <w:rPr>
          <w:b/>
          <w:bCs/>
        </w:rPr>
        <w:t>Generator Testing</w:t>
      </w:r>
      <w:r w:rsidRPr="00251595">
        <w:t>:</w:t>
      </w:r>
    </w:p>
    <w:p w14:paraId="3E1BC3B6" w14:textId="77777777" w:rsidR="00251595" w:rsidRPr="00251595" w:rsidRDefault="00251595" w:rsidP="00251595">
      <w:pPr>
        <w:numPr>
          <w:ilvl w:val="1"/>
          <w:numId w:val="4"/>
        </w:numPr>
      </w:pPr>
      <w:r w:rsidRPr="00251595">
        <w:t>Permitted only 7:00 AM–5:00 PM (May–September)</w:t>
      </w:r>
    </w:p>
    <w:p w14:paraId="4A2FF4B5" w14:textId="77777777" w:rsidR="00251595" w:rsidRPr="00251595" w:rsidRDefault="00251595" w:rsidP="00251595">
      <w:pPr>
        <w:numPr>
          <w:ilvl w:val="1"/>
          <w:numId w:val="4"/>
        </w:numPr>
      </w:pPr>
      <w:r w:rsidRPr="00251595">
        <w:t>11:00 AM–5:00 PM (October–April)</w:t>
      </w:r>
    </w:p>
    <w:p w14:paraId="2CCBAA8F" w14:textId="77777777" w:rsidR="00251595" w:rsidRPr="00251595" w:rsidRDefault="00251595" w:rsidP="00251595">
      <w:pPr>
        <w:numPr>
          <w:ilvl w:val="1"/>
          <w:numId w:val="4"/>
        </w:numPr>
      </w:pPr>
      <w:r w:rsidRPr="00251595">
        <w:t>No overnight testing</w:t>
      </w:r>
    </w:p>
    <w:p w14:paraId="1C5AEB85" w14:textId="77777777" w:rsidR="00251595" w:rsidRPr="00251595" w:rsidRDefault="00251595" w:rsidP="00251595">
      <w:pPr>
        <w:numPr>
          <w:ilvl w:val="0"/>
          <w:numId w:val="4"/>
        </w:numPr>
      </w:pPr>
      <w:r w:rsidRPr="00251595">
        <w:t>Violations are subject to daily fines and potential revocation of permits.</w:t>
      </w:r>
    </w:p>
    <w:p w14:paraId="670A104D" w14:textId="77777777" w:rsidR="00251595" w:rsidRPr="00251595" w:rsidRDefault="00251595" w:rsidP="00251595">
      <w:pPr>
        <w:rPr>
          <w:b/>
          <w:bCs/>
        </w:rPr>
      </w:pPr>
      <w:r w:rsidRPr="00251595">
        <w:rPr>
          <w:b/>
          <w:bCs/>
        </w:rPr>
        <w:t>G. Vibration, Air Quality, and Water Use</w:t>
      </w:r>
    </w:p>
    <w:p w14:paraId="66DD2BBC" w14:textId="42CBE4D3" w:rsidR="00622AB1" w:rsidRPr="00622AB1" w:rsidRDefault="00622AB1" w:rsidP="00251595">
      <w:r w:rsidRPr="00622AB1">
        <w:t>Compliance with 145-315; studies required. Peer review at Township discretion.</w:t>
      </w:r>
    </w:p>
    <w:p w14:paraId="58A9AAA0" w14:textId="7392EEB9" w:rsidR="00251595" w:rsidRPr="00622AB1" w:rsidRDefault="00251595" w:rsidP="00251595">
      <w:pPr>
        <w:rPr>
          <w:b/>
          <w:bCs/>
        </w:rPr>
      </w:pPr>
      <w:r w:rsidRPr="00622AB1">
        <w:rPr>
          <w:b/>
          <w:bCs/>
        </w:rPr>
        <w:t>H. Environmental Standards</w:t>
      </w:r>
    </w:p>
    <w:p w14:paraId="0003B18B" w14:textId="77777777" w:rsidR="00251595" w:rsidRPr="00251595" w:rsidRDefault="00251595" w:rsidP="00251595">
      <w:pPr>
        <w:numPr>
          <w:ilvl w:val="0"/>
          <w:numId w:val="5"/>
        </w:numPr>
      </w:pPr>
      <w:r w:rsidRPr="00251595">
        <w:rPr>
          <w:b/>
          <w:bCs/>
        </w:rPr>
        <w:t>Noise and Vibration</w:t>
      </w:r>
      <w:r w:rsidRPr="00251595">
        <w:t>: Must not cross property lines.</w:t>
      </w:r>
    </w:p>
    <w:p w14:paraId="28BEC6D0" w14:textId="77777777" w:rsidR="00251595" w:rsidRPr="00251595" w:rsidRDefault="00251595" w:rsidP="00251595">
      <w:pPr>
        <w:numPr>
          <w:ilvl w:val="0"/>
          <w:numId w:val="5"/>
        </w:numPr>
      </w:pPr>
      <w:r w:rsidRPr="00251595">
        <w:rPr>
          <w:b/>
          <w:bCs/>
        </w:rPr>
        <w:t>Air Quality</w:t>
      </w:r>
      <w:r w:rsidRPr="00251595">
        <w:t>: Must comply with all state and local emissions standards.</w:t>
      </w:r>
    </w:p>
    <w:p w14:paraId="39DDDE93" w14:textId="77777777" w:rsidR="00251595" w:rsidRPr="00251595" w:rsidRDefault="00251595" w:rsidP="00251595">
      <w:pPr>
        <w:numPr>
          <w:ilvl w:val="0"/>
          <w:numId w:val="5"/>
        </w:numPr>
      </w:pPr>
      <w:r w:rsidRPr="00251595">
        <w:rPr>
          <w:b/>
          <w:bCs/>
        </w:rPr>
        <w:t>Water Supply Feasibility Study</w:t>
      </w:r>
      <w:r w:rsidRPr="00251595">
        <w:t>: Required.</w:t>
      </w:r>
    </w:p>
    <w:p w14:paraId="0FB079DF" w14:textId="77777777" w:rsidR="00251595" w:rsidRPr="00251595" w:rsidRDefault="00251595" w:rsidP="00251595">
      <w:pPr>
        <w:numPr>
          <w:ilvl w:val="0"/>
          <w:numId w:val="5"/>
        </w:numPr>
      </w:pPr>
      <w:r w:rsidRPr="00251595">
        <w:rPr>
          <w:b/>
          <w:bCs/>
        </w:rPr>
        <w:t>Wastewater Plan</w:t>
      </w:r>
      <w:r w:rsidRPr="00251595">
        <w:t>: Required and reviewed by Township Engineer/SEO.</w:t>
      </w:r>
    </w:p>
    <w:p w14:paraId="00400E52" w14:textId="77777777" w:rsidR="00251595" w:rsidRPr="00251595" w:rsidRDefault="00251595" w:rsidP="00251595">
      <w:pPr>
        <w:rPr>
          <w:b/>
          <w:bCs/>
        </w:rPr>
      </w:pPr>
      <w:r w:rsidRPr="00251595">
        <w:rPr>
          <w:b/>
          <w:bCs/>
        </w:rPr>
        <w:t>I. Screening and Buffers</w:t>
      </w:r>
    </w:p>
    <w:p w14:paraId="34721D02" w14:textId="77777777" w:rsidR="00251595" w:rsidRPr="00251595" w:rsidRDefault="00251595" w:rsidP="00251595">
      <w:pPr>
        <w:numPr>
          <w:ilvl w:val="0"/>
          <w:numId w:val="6"/>
        </w:numPr>
      </w:pPr>
      <w:r w:rsidRPr="00251595">
        <w:rPr>
          <w:b/>
          <w:bCs/>
        </w:rPr>
        <w:t>Setbacks</w:t>
      </w:r>
      <w:r w:rsidRPr="00251595">
        <w:t>: 300-foot minimum from residential districts.</w:t>
      </w:r>
    </w:p>
    <w:p w14:paraId="18CF9891" w14:textId="77777777" w:rsidR="00251595" w:rsidRPr="00251595" w:rsidRDefault="00251595" w:rsidP="00251595">
      <w:pPr>
        <w:numPr>
          <w:ilvl w:val="0"/>
          <w:numId w:val="6"/>
        </w:numPr>
      </w:pPr>
      <w:r w:rsidRPr="00251595">
        <w:rPr>
          <w:b/>
          <w:bCs/>
        </w:rPr>
        <w:t>Buffers</w:t>
      </w:r>
      <w:r w:rsidRPr="00251595">
        <w:t>:</w:t>
      </w:r>
    </w:p>
    <w:p w14:paraId="6F1CB56F" w14:textId="77777777" w:rsidR="00251595" w:rsidRPr="00251595" w:rsidRDefault="00251595" w:rsidP="00251595">
      <w:pPr>
        <w:numPr>
          <w:ilvl w:val="1"/>
          <w:numId w:val="6"/>
        </w:numPr>
      </w:pPr>
      <w:r w:rsidRPr="00251595">
        <w:t>Must provide 75% visual opacity year-round within 3 years.</w:t>
      </w:r>
    </w:p>
    <w:p w14:paraId="3B695D75" w14:textId="77777777" w:rsidR="00251595" w:rsidRDefault="00251595" w:rsidP="00251595">
      <w:pPr>
        <w:numPr>
          <w:ilvl w:val="1"/>
          <w:numId w:val="6"/>
        </w:numPr>
      </w:pPr>
      <w:r w:rsidRPr="00251595">
        <w:t>One evergreen and one deciduous tree every 20 feet of frontage.</w:t>
      </w:r>
    </w:p>
    <w:p w14:paraId="2739C9B3" w14:textId="7EA4BF8C" w:rsidR="00622AB1" w:rsidRPr="00251595" w:rsidRDefault="00622AB1" w:rsidP="00622AB1">
      <w:r>
        <w:t>Buffer areas must not be used for parking, storage or other non-screening purposes.</w:t>
      </w:r>
    </w:p>
    <w:p w14:paraId="54332E57" w14:textId="52EA516C" w:rsidR="00251595" w:rsidRPr="00251595" w:rsidRDefault="00251595" w:rsidP="00251595">
      <w:pPr>
        <w:numPr>
          <w:ilvl w:val="0"/>
          <w:numId w:val="6"/>
        </w:numPr>
      </w:pPr>
      <w:r w:rsidRPr="00251595">
        <w:rPr>
          <w:b/>
          <w:bCs/>
        </w:rPr>
        <w:t>Fencing</w:t>
      </w:r>
      <w:r w:rsidRPr="00251595">
        <w:t xml:space="preserve">: </w:t>
      </w:r>
      <w:r w:rsidR="00622AB1">
        <w:t xml:space="preserve">Solid fencing. </w:t>
      </w:r>
      <w:r w:rsidRPr="00251595">
        <w:t>No chain link or barbed wire along public roads.</w:t>
      </w:r>
      <w:r w:rsidR="00622AB1">
        <w:t xml:space="preserve"> Subject to Township inspection.</w:t>
      </w:r>
    </w:p>
    <w:p w14:paraId="4A859B78" w14:textId="77777777" w:rsidR="00251595" w:rsidRPr="00251595" w:rsidRDefault="00251595" w:rsidP="00251595">
      <w:pPr>
        <w:numPr>
          <w:ilvl w:val="0"/>
          <w:numId w:val="6"/>
        </w:numPr>
      </w:pPr>
      <w:r w:rsidRPr="00251595">
        <w:rPr>
          <w:b/>
          <w:bCs/>
        </w:rPr>
        <w:t>Rooftop Equipment</w:t>
      </w:r>
      <w:r w:rsidRPr="00251595">
        <w:t>: Must be fully screened or hidden.</w:t>
      </w:r>
    </w:p>
    <w:p w14:paraId="02AA1899" w14:textId="77777777" w:rsidR="00251595" w:rsidRPr="00251595" w:rsidRDefault="00251595" w:rsidP="00251595">
      <w:pPr>
        <w:numPr>
          <w:ilvl w:val="0"/>
          <w:numId w:val="6"/>
        </w:numPr>
      </w:pPr>
      <w:r w:rsidRPr="00251595">
        <w:rPr>
          <w:b/>
          <w:bCs/>
        </w:rPr>
        <w:lastRenderedPageBreak/>
        <w:t>Refuse Areas</w:t>
      </w:r>
      <w:r w:rsidRPr="00251595">
        <w:t>: Must be fully enclosed.</w:t>
      </w:r>
    </w:p>
    <w:p w14:paraId="527E5C6E" w14:textId="77777777" w:rsidR="00251595" w:rsidRPr="00251595" w:rsidRDefault="00251595" w:rsidP="00251595">
      <w:pPr>
        <w:rPr>
          <w:b/>
          <w:bCs/>
        </w:rPr>
      </w:pPr>
      <w:r w:rsidRPr="00251595">
        <w:rPr>
          <w:b/>
          <w:bCs/>
        </w:rPr>
        <w:t>J. Design Guidelines</w:t>
      </w:r>
    </w:p>
    <w:p w14:paraId="54ACC04E" w14:textId="77777777" w:rsidR="00251595" w:rsidRPr="00251595" w:rsidRDefault="00251595" w:rsidP="00251595">
      <w:pPr>
        <w:numPr>
          <w:ilvl w:val="0"/>
          <w:numId w:val="7"/>
        </w:numPr>
      </w:pPr>
      <w:r w:rsidRPr="00251595">
        <w:rPr>
          <w:b/>
          <w:bCs/>
        </w:rPr>
        <w:t>Facade Design</w:t>
      </w:r>
      <w:r w:rsidRPr="00251595">
        <w:t>: Must include articulation every 150 feet (e.g., fenestration, materials change, green wall).</w:t>
      </w:r>
    </w:p>
    <w:p w14:paraId="025A40BD" w14:textId="77777777" w:rsidR="00251595" w:rsidRPr="00251595" w:rsidRDefault="00251595" w:rsidP="00251595">
      <w:pPr>
        <w:numPr>
          <w:ilvl w:val="0"/>
          <w:numId w:val="7"/>
        </w:numPr>
      </w:pPr>
      <w:r w:rsidRPr="00251595">
        <w:rPr>
          <w:b/>
          <w:bCs/>
        </w:rPr>
        <w:t>Green Wall</w:t>
      </w:r>
      <w:r w:rsidRPr="00251595">
        <w:t>: May substitute for up to 50% of fenestration.</w:t>
      </w:r>
    </w:p>
    <w:p w14:paraId="5B724250" w14:textId="77777777" w:rsidR="00251595" w:rsidRPr="00251595" w:rsidRDefault="00251595" w:rsidP="00251595">
      <w:pPr>
        <w:numPr>
          <w:ilvl w:val="0"/>
          <w:numId w:val="7"/>
        </w:numPr>
      </w:pPr>
      <w:r w:rsidRPr="00251595">
        <w:rPr>
          <w:b/>
          <w:bCs/>
        </w:rPr>
        <w:t>Fenestration Coverage</w:t>
      </w:r>
      <w:r w:rsidRPr="00251595">
        <w:t xml:space="preserve">: 30% minimum on primary </w:t>
      </w:r>
      <w:proofErr w:type="gramStart"/>
      <w:r w:rsidRPr="00251595">
        <w:t>façades</w:t>
      </w:r>
      <w:proofErr w:type="gramEnd"/>
      <w:r w:rsidRPr="00251595">
        <w:t>.</w:t>
      </w:r>
    </w:p>
    <w:p w14:paraId="4966E4FC" w14:textId="77777777" w:rsidR="00251595" w:rsidRPr="00251595" w:rsidRDefault="00251595" w:rsidP="00251595">
      <w:pPr>
        <w:rPr>
          <w:b/>
          <w:bCs/>
        </w:rPr>
      </w:pPr>
      <w:r w:rsidRPr="00251595">
        <w:rPr>
          <w:b/>
          <w:bCs/>
        </w:rPr>
        <w:t>K. Traffic Impact</w:t>
      </w:r>
    </w:p>
    <w:p w14:paraId="0B6B73F0" w14:textId="43D7E67E" w:rsidR="00251595" w:rsidRPr="00251595" w:rsidRDefault="00251595" w:rsidP="00251595">
      <w:r w:rsidRPr="00251595">
        <w:t>A study shall be submitted to demonstrate traffic impacts are within tolerances and emergency access is ensured.</w:t>
      </w:r>
      <w:r w:rsidR="00622AB1">
        <w:t xml:space="preserve"> Traffic must not adversely affect local roads.</w:t>
      </w:r>
    </w:p>
    <w:p w14:paraId="344B703E" w14:textId="77777777" w:rsidR="00251595" w:rsidRPr="00251595" w:rsidRDefault="00251595" w:rsidP="00251595">
      <w:pPr>
        <w:rPr>
          <w:b/>
          <w:bCs/>
        </w:rPr>
      </w:pPr>
      <w:r w:rsidRPr="00251595">
        <w:rPr>
          <w:b/>
          <w:bCs/>
        </w:rPr>
        <w:t>L. Hours of Operation for Ancillary Activities</w:t>
      </w:r>
    </w:p>
    <w:p w14:paraId="4D1DBAE3" w14:textId="77777777" w:rsidR="00251595" w:rsidRPr="00251595" w:rsidRDefault="00251595" w:rsidP="00251595">
      <w:r w:rsidRPr="00251595">
        <w:t>Non-essential activities (deliveries, maintenance) must occur between 7:00 AM and 7:00 PM, Monday through Saturday.</w:t>
      </w:r>
    </w:p>
    <w:p w14:paraId="0897716E" w14:textId="77777777" w:rsidR="00251595" w:rsidRPr="00251595" w:rsidRDefault="00251595" w:rsidP="00251595">
      <w:pPr>
        <w:rPr>
          <w:b/>
          <w:bCs/>
        </w:rPr>
      </w:pPr>
      <w:r w:rsidRPr="00251595">
        <w:rPr>
          <w:b/>
          <w:bCs/>
        </w:rPr>
        <w:t>M. Community Incentive Package</w:t>
      </w:r>
    </w:p>
    <w:p w14:paraId="34E75012" w14:textId="77777777" w:rsidR="00251595" w:rsidRPr="00251595" w:rsidRDefault="00251595" w:rsidP="00251595">
      <w:pPr>
        <w:numPr>
          <w:ilvl w:val="0"/>
          <w:numId w:val="8"/>
        </w:numPr>
      </w:pPr>
      <w:proofErr w:type="gramStart"/>
      <w:r w:rsidRPr="00251595">
        <w:t>Applicant</w:t>
      </w:r>
      <w:proofErr w:type="gramEnd"/>
      <w:r w:rsidRPr="00251595">
        <w:t xml:space="preserve"> must submit a binding Community Incentive Package as part of the application.</w:t>
      </w:r>
    </w:p>
    <w:p w14:paraId="28F7847A" w14:textId="77777777" w:rsidR="00251595" w:rsidRDefault="00251595" w:rsidP="00251595">
      <w:pPr>
        <w:numPr>
          <w:ilvl w:val="0"/>
          <w:numId w:val="8"/>
        </w:numPr>
      </w:pPr>
      <w:r w:rsidRPr="00251595">
        <w:t>The Township may require the terms be recorded in a Developer’s Agreement.</w:t>
      </w:r>
    </w:p>
    <w:p w14:paraId="4CE34F9D" w14:textId="6D58B205" w:rsidR="00622AB1" w:rsidRPr="00251595" w:rsidRDefault="00622AB1" w:rsidP="00251595">
      <w:pPr>
        <w:numPr>
          <w:ilvl w:val="0"/>
          <w:numId w:val="8"/>
        </w:numPr>
      </w:pPr>
      <w:r>
        <w:t>The community development package should be negotiated, proportional, legally tied to public welfare, education</w:t>
      </w:r>
      <w:r w:rsidR="00D65E39">
        <w:t>,</w:t>
      </w:r>
      <w:r>
        <w:t xml:space="preserve"> health or infrastructure improvements.</w:t>
      </w:r>
    </w:p>
    <w:p w14:paraId="3AA2102A" w14:textId="77777777" w:rsidR="00251595" w:rsidRPr="00251595" w:rsidRDefault="00251595" w:rsidP="00251595">
      <w:pPr>
        <w:rPr>
          <w:b/>
          <w:bCs/>
        </w:rPr>
      </w:pPr>
      <w:r w:rsidRPr="00251595">
        <w:rPr>
          <w:b/>
          <w:bCs/>
        </w:rPr>
        <w:t>N. Emergency Response</w:t>
      </w:r>
    </w:p>
    <w:p w14:paraId="7652FEE9" w14:textId="77777777" w:rsidR="00251595" w:rsidRPr="00251595" w:rsidRDefault="00251595" w:rsidP="00251595">
      <w:pPr>
        <w:numPr>
          <w:ilvl w:val="0"/>
          <w:numId w:val="9"/>
        </w:numPr>
      </w:pPr>
      <w:r w:rsidRPr="00251595">
        <w:rPr>
          <w:b/>
          <w:bCs/>
        </w:rPr>
        <w:t>Fire Safety Plan</w:t>
      </w:r>
      <w:r w:rsidRPr="00251595">
        <w:t>: Required and must meet NFPA standards.</w:t>
      </w:r>
    </w:p>
    <w:p w14:paraId="690A20CF" w14:textId="77777777" w:rsidR="00251595" w:rsidRPr="00251595" w:rsidRDefault="00251595" w:rsidP="00251595">
      <w:pPr>
        <w:numPr>
          <w:ilvl w:val="0"/>
          <w:numId w:val="9"/>
        </w:numPr>
      </w:pPr>
      <w:r w:rsidRPr="00251595">
        <w:rPr>
          <w:b/>
          <w:bCs/>
        </w:rPr>
        <w:t>Battery Storage</w:t>
      </w:r>
      <w:r w:rsidRPr="00251595">
        <w:t>: Must comply with NFPA 855.</w:t>
      </w:r>
    </w:p>
    <w:p w14:paraId="4499A241" w14:textId="77777777" w:rsidR="00251595" w:rsidRPr="00251595" w:rsidRDefault="00251595" w:rsidP="00251595">
      <w:pPr>
        <w:numPr>
          <w:ilvl w:val="0"/>
          <w:numId w:val="9"/>
        </w:numPr>
      </w:pPr>
      <w:r w:rsidRPr="00251595">
        <w:rPr>
          <w:b/>
          <w:bCs/>
        </w:rPr>
        <w:t>Hydrants</w:t>
      </w:r>
      <w:r w:rsidRPr="00251595">
        <w:t>: Storz fittings required.</w:t>
      </w:r>
    </w:p>
    <w:p w14:paraId="54F27785" w14:textId="77777777" w:rsidR="00251595" w:rsidRPr="00251595" w:rsidRDefault="00251595" w:rsidP="00251595">
      <w:pPr>
        <w:numPr>
          <w:ilvl w:val="0"/>
          <w:numId w:val="9"/>
        </w:numPr>
      </w:pPr>
      <w:r w:rsidRPr="00251595">
        <w:rPr>
          <w:b/>
          <w:bCs/>
        </w:rPr>
        <w:t>Knox Box</w:t>
      </w:r>
      <w:r w:rsidRPr="00251595">
        <w:t>: Required on all structures.</w:t>
      </w:r>
    </w:p>
    <w:p w14:paraId="74E01656" w14:textId="77777777" w:rsidR="00251595" w:rsidRPr="00251595" w:rsidRDefault="00000000" w:rsidP="00251595">
      <w:r>
        <w:pict w14:anchorId="5AFEA488">
          <v:rect id="_x0000_i1032" style="width:0;height:1.5pt" o:hralign="center" o:hrstd="t" o:hr="t" fillcolor="#a0a0a0" stroked="f"/>
        </w:pict>
      </w:r>
    </w:p>
    <w:p w14:paraId="53C5C618" w14:textId="77777777" w:rsidR="00251595" w:rsidRPr="00251595" w:rsidRDefault="00251595" w:rsidP="00251595">
      <w:pPr>
        <w:rPr>
          <w:b/>
          <w:bCs/>
        </w:rPr>
      </w:pPr>
      <w:r w:rsidRPr="00251595">
        <w:rPr>
          <w:b/>
          <w:bCs/>
        </w:rPr>
        <w:t>SECTION 4. SEVERABILITY</w:t>
      </w:r>
    </w:p>
    <w:p w14:paraId="654D7370" w14:textId="77777777" w:rsidR="00251595" w:rsidRPr="00251595" w:rsidRDefault="00251595" w:rsidP="00251595">
      <w:r w:rsidRPr="00251595">
        <w:t>If any provision of this Ordinance is found to be unconstitutional or invalid, the remaining provisions shall remain in full force and effect.</w:t>
      </w:r>
    </w:p>
    <w:p w14:paraId="67527F07" w14:textId="77777777" w:rsidR="00251595" w:rsidRPr="00251595" w:rsidRDefault="00000000" w:rsidP="00251595">
      <w:r>
        <w:pict w14:anchorId="75FACFEB">
          <v:rect id="_x0000_i1033" style="width:0;height:1.5pt" o:hralign="center" o:hrstd="t" o:hr="t" fillcolor="#a0a0a0" stroked="f"/>
        </w:pict>
      </w:r>
    </w:p>
    <w:p w14:paraId="62E02C99" w14:textId="77777777" w:rsidR="00251595" w:rsidRPr="00251595" w:rsidRDefault="00251595" w:rsidP="00251595">
      <w:pPr>
        <w:rPr>
          <w:b/>
          <w:bCs/>
        </w:rPr>
      </w:pPr>
      <w:r w:rsidRPr="00251595">
        <w:rPr>
          <w:b/>
          <w:bCs/>
        </w:rPr>
        <w:lastRenderedPageBreak/>
        <w:t>SECTION 5. REPEALER</w:t>
      </w:r>
    </w:p>
    <w:p w14:paraId="4D1BC97D" w14:textId="77777777" w:rsidR="00251595" w:rsidRPr="00251595" w:rsidRDefault="00251595" w:rsidP="00251595">
      <w:r w:rsidRPr="00251595">
        <w:t>All ordinances or parts thereof inconsistent with this Ordinance are hereby repealed to the extent of such inconsistency.</w:t>
      </w:r>
    </w:p>
    <w:p w14:paraId="3E0DAD6E" w14:textId="77777777" w:rsidR="00251595" w:rsidRPr="00251595" w:rsidRDefault="00000000" w:rsidP="00251595">
      <w:r>
        <w:pict w14:anchorId="32075465">
          <v:rect id="_x0000_i1034" style="width:0;height:1.5pt" o:hralign="center" o:hrstd="t" o:hr="t" fillcolor="#a0a0a0" stroked="f"/>
        </w:pict>
      </w:r>
    </w:p>
    <w:p w14:paraId="7DC7B1D6" w14:textId="65634563" w:rsidR="00D65E39" w:rsidRDefault="00D65E39" w:rsidP="00D65E39">
      <w:pPr>
        <w:rPr>
          <w:b/>
          <w:bCs/>
        </w:rPr>
      </w:pPr>
      <w:r w:rsidRPr="00251595">
        <w:rPr>
          <w:b/>
          <w:bCs/>
        </w:rPr>
        <w:t xml:space="preserve">SECTION </w:t>
      </w:r>
      <w:r>
        <w:rPr>
          <w:b/>
          <w:bCs/>
        </w:rPr>
        <w:t>6</w:t>
      </w:r>
      <w:r w:rsidRPr="00251595">
        <w:rPr>
          <w:b/>
          <w:bCs/>
        </w:rPr>
        <w:t xml:space="preserve">. </w:t>
      </w:r>
      <w:r w:rsidR="001F44D7">
        <w:rPr>
          <w:b/>
          <w:bCs/>
        </w:rPr>
        <w:t>ENFORCEMENT</w:t>
      </w:r>
    </w:p>
    <w:p w14:paraId="74D659CD" w14:textId="7312171F" w:rsidR="001F44D7" w:rsidRPr="002F40CB" w:rsidRDefault="001F44D7" w:rsidP="00D65E39">
      <w:r w:rsidRPr="002F40CB">
        <w:t xml:space="preserve">Violations are subject to fines per the Second Township Code, Township may recover legal fees, appeal is per the MPC </w:t>
      </w:r>
      <w:r w:rsidR="00693A53" w:rsidRPr="002F40CB">
        <w:t>guidelines</w:t>
      </w:r>
      <w:r w:rsidRPr="002F40CB">
        <w:t xml:space="preserve">. </w:t>
      </w:r>
      <w:r w:rsidR="00693A53" w:rsidRPr="002F40CB">
        <w:t>Continuous</w:t>
      </w:r>
      <w:r w:rsidRPr="002F40CB">
        <w:t xml:space="preserve"> </w:t>
      </w:r>
      <w:proofErr w:type="gramStart"/>
      <w:r w:rsidRPr="002F40CB">
        <w:t>monitor</w:t>
      </w:r>
      <w:proofErr w:type="gramEnd"/>
      <w:r w:rsidRPr="002F40CB">
        <w:t xml:space="preserve"> is </w:t>
      </w:r>
      <w:r w:rsidR="00693A53" w:rsidRPr="002F40CB">
        <w:t>allowed,</w:t>
      </w:r>
      <w:r w:rsidRPr="002F40CB">
        <w:t xml:space="preserve"> and corrective measures are enforceable.</w:t>
      </w:r>
      <w:r w:rsidR="002F40CB" w:rsidRPr="002F40CB">
        <w:t xml:space="preserve"> </w:t>
      </w:r>
    </w:p>
    <w:p w14:paraId="79DFCB1C" w14:textId="498D05F9" w:rsidR="002F40CB" w:rsidRPr="002F40CB" w:rsidRDefault="002F40CB" w:rsidP="00D65E39">
      <w:r>
        <w:rPr>
          <w:b/>
          <w:bCs/>
        </w:rPr>
        <w:t xml:space="preserve">A Noise &amp; </w:t>
      </w:r>
      <w:r w:rsidRPr="002F40CB">
        <w:rPr>
          <w:b/>
          <w:bCs/>
        </w:rPr>
        <w:t>Generator Enforcement</w:t>
      </w:r>
    </w:p>
    <w:p w14:paraId="1EF92CAC" w14:textId="6AADB890" w:rsidR="002F40CB" w:rsidRPr="002F40CB" w:rsidRDefault="002F40CB" w:rsidP="002F40CB">
      <w:pPr>
        <w:pStyle w:val="ListParagraph"/>
        <w:numPr>
          <w:ilvl w:val="1"/>
          <w:numId w:val="8"/>
        </w:numPr>
      </w:pPr>
      <w:r w:rsidRPr="002F40CB">
        <w:t xml:space="preserve">Noise monitoring required for generators and turbines, Township </w:t>
      </w:r>
      <w:r w:rsidR="00693A53" w:rsidRPr="002F40CB">
        <w:t>may</w:t>
      </w:r>
      <w:r w:rsidRPr="002F40CB">
        <w:t xml:space="preserve"> require continuous remote monitoring cost to be borne by owner.</w:t>
      </w:r>
    </w:p>
    <w:p w14:paraId="414B51D1" w14:textId="562C76DE" w:rsidR="002F40CB" w:rsidRPr="002F40CB" w:rsidRDefault="002F40CB" w:rsidP="002F40CB">
      <w:pPr>
        <w:pStyle w:val="ListParagraph"/>
        <w:numPr>
          <w:ilvl w:val="1"/>
          <w:numId w:val="8"/>
        </w:numPr>
      </w:pPr>
      <w:r w:rsidRPr="002F40CB">
        <w:t xml:space="preserve">Violations of noise limits of equipment testing times may result </w:t>
      </w:r>
      <w:r w:rsidR="00693A53" w:rsidRPr="002F40CB">
        <w:t>in fines</w:t>
      </w:r>
      <w:r w:rsidRPr="002F40CB">
        <w:t xml:space="preserve"> and corrective orders.</w:t>
      </w:r>
    </w:p>
    <w:p w14:paraId="6D181602" w14:textId="2A47BF6C" w:rsidR="002F40CB" w:rsidRDefault="002F40CB" w:rsidP="002F40CB">
      <w:pPr>
        <w:pStyle w:val="ListParagraph"/>
        <w:numPr>
          <w:ilvl w:val="1"/>
          <w:numId w:val="8"/>
        </w:numPr>
      </w:pPr>
      <w:r w:rsidRPr="002F40CB">
        <w:t>Sound studies must be conducted by qualified professionals pre- and post-off occupants using ANSI standard meters at the property line.</w:t>
      </w:r>
    </w:p>
    <w:p w14:paraId="426DBDB3" w14:textId="2C2CE77A" w:rsidR="002F40CB" w:rsidRPr="002F40CB" w:rsidRDefault="002F40CB" w:rsidP="002F40CB">
      <w:pPr>
        <w:rPr>
          <w:b/>
          <w:bCs/>
        </w:rPr>
      </w:pPr>
      <w:r w:rsidRPr="002F40CB">
        <w:rPr>
          <w:b/>
          <w:bCs/>
        </w:rPr>
        <w:t>B. Fencing/Screening/Bu</w:t>
      </w:r>
      <w:r w:rsidR="00A53EC9">
        <w:rPr>
          <w:b/>
          <w:bCs/>
        </w:rPr>
        <w:t>ff</w:t>
      </w:r>
      <w:r w:rsidRPr="002F40CB">
        <w:rPr>
          <w:b/>
          <w:bCs/>
        </w:rPr>
        <w:t>ers</w:t>
      </w:r>
    </w:p>
    <w:p w14:paraId="1CF2BE5F" w14:textId="1B223713" w:rsidR="002F40CB" w:rsidRDefault="002F40CB" w:rsidP="002F40CB">
      <w:pPr>
        <w:ind w:left="1080"/>
      </w:pPr>
      <w:r>
        <w:t>1.) Fences, mechanical equipment, and refuse areas must remain properly maintained; failure may result in fines and Township-mandated corrections</w:t>
      </w:r>
    </w:p>
    <w:p w14:paraId="578E6B15" w14:textId="2F8ED189" w:rsidR="002F40CB" w:rsidRPr="002F40CB" w:rsidRDefault="002F40CB" w:rsidP="002F40CB">
      <w:pPr>
        <w:ind w:left="1080"/>
      </w:pPr>
      <w:r>
        <w:t>2.) Landscaping buffers must be maintained; replacement of plaints within 6 months is required.</w:t>
      </w:r>
    </w:p>
    <w:p w14:paraId="72E1ECBB" w14:textId="24671952" w:rsidR="00D65E39" w:rsidRPr="00251595" w:rsidRDefault="00000000" w:rsidP="00D65E39">
      <w:pPr>
        <w:rPr>
          <w:b/>
          <w:bCs/>
        </w:rPr>
      </w:pPr>
      <w:r>
        <w:pict w14:anchorId="6043AAAF">
          <v:rect id="_x0000_i1035" style="width:0;height:1.5pt" o:hralign="center" o:hrstd="t" o:hr="t" fillcolor="#a0a0a0" stroked="f"/>
        </w:pict>
      </w:r>
    </w:p>
    <w:p w14:paraId="2DC339D1" w14:textId="04E6FAA9" w:rsidR="00251595" w:rsidRPr="00251595" w:rsidRDefault="00251595" w:rsidP="00251595">
      <w:pPr>
        <w:rPr>
          <w:b/>
          <w:bCs/>
        </w:rPr>
      </w:pPr>
      <w:r w:rsidRPr="00251595">
        <w:rPr>
          <w:b/>
          <w:bCs/>
        </w:rPr>
        <w:t xml:space="preserve">SECTION </w:t>
      </w:r>
      <w:r w:rsidR="00D65E39">
        <w:rPr>
          <w:b/>
          <w:bCs/>
        </w:rPr>
        <w:t>7</w:t>
      </w:r>
      <w:r w:rsidRPr="00251595">
        <w:rPr>
          <w:b/>
          <w:bCs/>
        </w:rPr>
        <w:t>. EFFECTIVE DATE</w:t>
      </w:r>
    </w:p>
    <w:p w14:paraId="358DCD22" w14:textId="77777777" w:rsidR="00251595" w:rsidRPr="00251595" w:rsidRDefault="00251595" w:rsidP="00251595">
      <w:r w:rsidRPr="00251595">
        <w:t>This Ordinance shall become effective upon enactment and after the expiration of the appeal period pursuant to the Pennsylvania Municipalities Planning Code.</w:t>
      </w:r>
    </w:p>
    <w:p w14:paraId="1C0372C3" w14:textId="77777777" w:rsidR="00251595" w:rsidRPr="00251595" w:rsidRDefault="00000000" w:rsidP="00251595">
      <w:r>
        <w:pict w14:anchorId="5E3D816E">
          <v:rect id="_x0000_i1036" style="width:0;height:1.5pt" o:hralign="center" o:hrstd="t" o:hr="t" fillcolor="#a0a0a0" stroked="f"/>
        </w:pict>
      </w:r>
    </w:p>
    <w:p w14:paraId="4B565B69" w14:textId="4C6B18C0" w:rsidR="00251595" w:rsidRPr="00251595" w:rsidRDefault="00251595" w:rsidP="00251595">
      <w:pPr>
        <w:rPr>
          <w:b/>
          <w:bCs/>
        </w:rPr>
      </w:pPr>
      <w:r w:rsidRPr="00251595">
        <w:rPr>
          <w:b/>
          <w:bCs/>
        </w:rPr>
        <w:t xml:space="preserve">ORDAINED AND </w:t>
      </w:r>
      <w:proofErr w:type="gramStart"/>
      <w:r w:rsidRPr="00251595">
        <w:rPr>
          <w:b/>
          <w:bCs/>
        </w:rPr>
        <w:t>ENACTED</w:t>
      </w:r>
      <w:proofErr w:type="gramEnd"/>
      <w:r w:rsidRPr="00251595">
        <w:rPr>
          <w:b/>
          <w:bCs/>
        </w:rPr>
        <w:t xml:space="preserve"> this </w:t>
      </w:r>
      <w:r w:rsidR="008D2D3D">
        <w:rPr>
          <w:b/>
          <w:bCs/>
        </w:rPr>
        <w:t>10</w:t>
      </w:r>
      <w:r w:rsidRPr="00251595">
        <w:rPr>
          <w:b/>
          <w:bCs/>
        </w:rPr>
        <w:t xml:space="preserve"> day of </w:t>
      </w:r>
      <w:proofErr w:type="gramStart"/>
      <w:r w:rsidRPr="00251595">
        <w:rPr>
          <w:b/>
          <w:bCs/>
        </w:rPr>
        <w:t>October,</w:t>
      </w:r>
      <w:proofErr w:type="gramEnd"/>
      <w:r w:rsidRPr="00251595">
        <w:rPr>
          <w:b/>
          <w:bCs/>
        </w:rPr>
        <w:t xml:space="preserve"> 2025.</w:t>
      </w:r>
    </w:p>
    <w:p w14:paraId="4AFDAA4E" w14:textId="77777777" w:rsidR="00251595" w:rsidRDefault="00251595"/>
    <w:sectPr w:rsidR="00251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1108B"/>
    <w:multiLevelType w:val="multilevel"/>
    <w:tmpl w:val="CC48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74371"/>
    <w:multiLevelType w:val="multilevel"/>
    <w:tmpl w:val="FC76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273972"/>
    <w:multiLevelType w:val="multilevel"/>
    <w:tmpl w:val="30628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CE3194"/>
    <w:multiLevelType w:val="multilevel"/>
    <w:tmpl w:val="730AA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075FE9"/>
    <w:multiLevelType w:val="multilevel"/>
    <w:tmpl w:val="773C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81F62"/>
    <w:multiLevelType w:val="multilevel"/>
    <w:tmpl w:val="2CEE0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13218A"/>
    <w:multiLevelType w:val="multilevel"/>
    <w:tmpl w:val="BC882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B77E8E"/>
    <w:multiLevelType w:val="multilevel"/>
    <w:tmpl w:val="CAB06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662498"/>
    <w:multiLevelType w:val="multilevel"/>
    <w:tmpl w:val="1E120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01522B"/>
    <w:multiLevelType w:val="multilevel"/>
    <w:tmpl w:val="192E4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0961857">
    <w:abstractNumId w:val="4"/>
  </w:num>
  <w:num w:numId="2" w16cid:durableId="1538929714">
    <w:abstractNumId w:val="7"/>
  </w:num>
  <w:num w:numId="3" w16cid:durableId="83571085">
    <w:abstractNumId w:val="3"/>
  </w:num>
  <w:num w:numId="4" w16cid:durableId="1575431077">
    <w:abstractNumId w:val="2"/>
  </w:num>
  <w:num w:numId="5" w16cid:durableId="872184134">
    <w:abstractNumId w:val="1"/>
  </w:num>
  <w:num w:numId="6" w16cid:durableId="1980988476">
    <w:abstractNumId w:val="6"/>
  </w:num>
  <w:num w:numId="7" w16cid:durableId="2066292291">
    <w:abstractNumId w:val="9"/>
  </w:num>
  <w:num w:numId="8" w16cid:durableId="193931381">
    <w:abstractNumId w:val="5"/>
  </w:num>
  <w:num w:numId="9" w16cid:durableId="1074350008">
    <w:abstractNumId w:val="8"/>
  </w:num>
  <w:num w:numId="10" w16cid:durableId="1962567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95"/>
    <w:rsid w:val="001F44D7"/>
    <w:rsid w:val="00251595"/>
    <w:rsid w:val="002F40CB"/>
    <w:rsid w:val="004006C3"/>
    <w:rsid w:val="0052764B"/>
    <w:rsid w:val="00622AB1"/>
    <w:rsid w:val="00693A53"/>
    <w:rsid w:val="007D2291"/>
    <w:rsid w:val="00857014"/>
    <w:rsid w:val="008D2D3D"/>
    <w:rsid w:val="00953520"/>
    <w:rsid w:val="00A534E3"/>
    <w:rsid w:val="00A53EC9"/>
    <w:rsid w:val="00D6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D364E"/>
  <w15:chartTrackingRefBased/>
  <w15:docId w15:val="{C9BD6454-58E0-48C0-8C41-2A7D6916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5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5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5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5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5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5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5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5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5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5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5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Heard</dc:creator>
  <cp:keywords/>
  <dc:description/>
  <cp:lastModifiedBy>Pamela Heard</cp:lastModifiedBy>
  <cp:revision>7</cp:revision>
  <dcterms:created xsi:type="dcterms:W3CDTF">2025-09-24T18:15:00Z</dcterms:created>
  <dcterms:modified xsi:type="dcterms:W3CDTF">2025-09-25T19:05:00Z</dcterms:modified>
</cp:coreProperties>
</file>